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Header"/>
              <w:spacing w:line="360" w:lineRule="auto"/>
              <w:ind w:left="57"/>
              <w:jc w:val="center"/>
              <w:rPr>
                <w:b/>
                <w:bCs/>
                <w:iCs/>
                <w:sz w:val="22"/>
                <w:lang w:bidi="it-IT"/>
              </w:rPr>
            </w:pPr>
          </w:p>
          <w:p w14:paraId="22C42FC2" w14:textId="77777777"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Pr="00C12DFC">
              <w:rPr>
                <w:rFonts w:eastAsia="Calibri"/>
                <w:b/>
                <w:color w:val="FF0000"/>
                <w:sz w:val="22"/>
                <w:lang w:bidi="it-IT"/>
              </w:rPr>
              <w:t>, suddivisa in […] lotti,</w:t>
            </w:r>
            <w:r w:rsidRPr="00C12DFC">
              <w:rPr>
                <w:rFonts w:eastAsia="Calibri"/>
                <w:b/>
                <w:color w:val="auto"/>
                <w:sz w:val="22"/>
                <w:lang w:bidi="it-IT"/>
              </w:rPr>
              <w:t xml:space="preserve"> per l’affidamento del </w:t>
            </w:r>
            <w:r w:rsidRPr="00C12DFC">
              <w:rPr>
                <w:rFonts w:eastAsia="Calibri"/>
                <w:b/>
                <w:i/>
                <w:color w:val="auto"/>
                <w:sz w:val="22"/>
                <w:lang w:bidi="it-IT"/>
              </w:rPr>
              <w:t>“Servizio di cassa a favore di Rete di Scuole”</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Heading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A4280B5"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14:paraId="7226EC41" w14:textId="77777777" w:rsidR="008C7DE0" w:rsidRPr="00F87DDB" w:rsidRDefault="008C7DE0" w:rsidP="008C7DE0">
      <w:pPr>
        <w:spacing w:after="0"/>
        <w:ind w:left="0" w:firstLine="0"/>
        <w:jc w:val="center"/>
        <w:rPr>
          <w:color w:val="FF0000"/>
          <w:sz w:val="22"/>
        </w:rPr>
      </w:pPr>
      <w:r w:rsidRPr="00F87DDB">
        <w:rPr>
          <w:color w:val="FF0000"/>
          <w:sz w:val="22"/>
        </w:rPr>
        <w:t xml:space="preserve">Lotto </w:t>
      </w:r>
      <w:r w:rsidRPr="00F87DDB">
        <w:rPr>
          <w:color w:val="FF0000"/>
          <w:sz w:val="22"/>
          <w:highlight w:val="yellow"/>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Heading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w:t>
      </w:r>
      <w:proofErr w:type="gramStart"/>
      <w:r w:rsidRPr="00256908">
        <w:rPr>
          <w:sz w:val="22"/>
        </w:rPr>
        <w:t>nella</w:t>
      </w:r>
      <w:proofErr w:type="gramEnd"/>
      <w:r w:rsidRPr="00256908">
        <w:rPr>
          <w:sz w:val="22"/>
        </w:rPr>
        <w:t xml:space="preserve">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xml:space="preserve">…………………… (di seguito denominato “Gestore”) con sede in............................................ </w:t>
      </w:r>
      <w:proofErr w:type="gramStart"/>
      <w:r w:rsidRPr="00256908">
        <w:rPr>
          <w:sz w:val="22"/>
        </w:rPr>
        <w:t>via</w:t>
      </w:r>
      <w:proofErr w:type="gramEnd"/>
      <w:r w:rsidRPr="00256908">
        <w:rPr>
          <w:sz w:val="22"/>
        </w:rPr>
        <w:t xml:space="preserve">/piazza………………... ................................................................. C.F. n. ....................................................................................................................                                                                                            </w:t>
      </w:r>
      <w:proofErr w:type="gramStart"/>
      <w:r w:rsidRPr="00256908">
        <w:rPr>
          <w:sz w:val="22"/>
        </w:rPr>
        <w:t>rappresentata</w:t>
      </w:r>
      <w:proofErr w:type="gramEnd"/>
      <w:r w:rsidRPr="00256908">
        <w:rPr>
          <w:sz w:val="22"/>
        </w:rPr>
        <w:t xml:space="preserve">/o da ............................................................................................................. </w:t>
      </w:r>
      <w:proofErr w:type="gramStart"/>
      <w:r w:rsidRPr="00256908">
        <w:rPr>
          <w:sz w:val="22"/>
        </w:rPr>
        <w:t>nata</w:t>
      </w:r>
      <w:proofErr w:type="gramEnd"/>
      <w:r w:rsidRPr="00256908">
        <w:rPr>
          <w:sz w:val="22"/>
        </w:rPr>
        <w:t xml:space="preserve">/o a ...................................... </w:t>
      </w:r>
      <w:proofErr w:type="gramStart"/>
      <w:r w:rsidRPr="00256908">
        <w:rPr>
          <w:sz w:val="22"/>
        </w:rPr>
        <w:t>il</w:t>
      </w:r>
      <w:proofErr w:type="gramEnd"/>
      <w:r w:rsidRPr="00256908">
        <w:rPr>
          <w:sz w:val="22"/>
        </w:rPr>
        <w:t xml:space="preserve"> ...................................nella sua qualità di.......................... (</w:t>
      </w:r>
      <w:proofErr w:type="gramStart"/>
      <w:r w:rsidRPr="00256908">
        <w:rPr>
          <w:sz w:val="22"/>
        </w:rPr>
        <w:t>di</w:t>
      </w:r>
      <w:proofErr w:type="gramEnd"/>
      <w:r w:rsidRPr="00256908">
        <w:rPr>
          <w:sz w:val="22"/>
        </w:rPr>
        <w:t xml:space="preserve">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Heading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w:t>
      </w:r>
      <w:proofErr w:type="gramStart"/>
      <w:r w:rsidRPr="00256908">
        <w:rPr>
          <w:sz w:val="22"/>
        </w:rPr>
        <w:t>e</w:t>
      </w:r>
      <w:proofErr w:type="gramEnd"/>
      <w:r w:rsidRPr="00256908">
        <w:rPr>
          <w:sz w:val="22"/>
        </w:rPr>
        <w:t xml:space="preserv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Heading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w:t>
      </w:r>
      <w:proofErr w:type="gramStart"/>
      <w:r w:rsidR="00666841" w:rsidRPr="00256908">
        <w:rPr>
          <w:sz w:val="22"/>
        </w:rPr>
        <w:t>del</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Heading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Heading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w:t>
      </w:r>
      <w:proofErr w:type="gramStart"/>
      <w:r w:rsidRPr="00256908">
        <w:rPr>
          <w:sz w:val="22"/>
        </w:rPr>
        <w:t>’“</w:t>
      </w:r>
      <w:proofErr w:type="gramEnd"/>
      <w:r w:rsidRPr="00256908">
        <w:rPr>
          <w:sz w:val="22"/>
        </w:rPr>
        <w:t>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w:t>
      </w:r>
      <w:proofErr w:type="gramStart"/>
      <w:r w:rsidRPr="00256908">
        <w:rPr>
          <w:sz w:val="22"/>
        </w:rPr>
        <w:t>prescritte</w:t>
      </w:r>
      <w:proofErr w:type="gramEnd"/>
      <w:r w:rsidRPr="00256908">
        <w:rPr>
          <w:sz w:val="22"/>
        </w:rPr>
        <w:t xml:space="preserv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w:t>
      </w:r>
      <w:proofErr w:type="gramStart"/>
      <w:r w:rsidRPr="00256908">
        <w:rPr>
          <w:sz w:val="22"/>
        </w:rPr>
        <w:t>e</w:t>
      </w:r>
      <w:proofErr w:type="gramEnd"/>
      <w:r w:rsidRPr="00256908">
        <w:rPr>
          <w:sz w:val="22"/>
        </w:rPr>
        <w:t xml:space="preserv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Heading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Heading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Heading2"/>
        <w:spacing w:after="5" w:line="264" w:lineRule="auto"/>
        <w:ind w:left="1750" w:right="2484"/>
        <w:rPr>
          <w:sz w:val="22"/>
        </w:rPr>
      </w:pPr>
      <w:bookmarkStart w:id="0" w:name="_GoBack"/>
      <w:bookmarkEnd w:id="0"/>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Heading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w:t>
      </w:r>
      <w:proofErr w:type="gramStart"/>
      <w:r w:rsidRPr="00256908">
        <w:rPr>
          <w:sz w:val="22"/>
        </w:rPr>
        <w:t>e</w:t>
      </w:r>
      <w:proofErr w:type="gramEnd"/>
      <w:r w:rsidRPr="00256908">
        <w:rPr>
          <w:sz w:val="22"/>
        </w:rPr>
        <w:t xml:space="preserv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Heading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Heading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ListParagraph"/>
        <w:ind w:left="0" w:right="738" w:firstLine="0"/>
        <w:rPr>
          <w:sz w:val="22"/>
        </w:rPr>
      </w:pPr>
    </w:p>
    <w:p w14:paraId="570047C2" w14:textId="77777777" w:rsidR="00A0394D" w:rsidRPr="00256908" w:rsidRDefault="00A0394D" w:rsidP="00A0394D">
      <w:pPr>
        <w:pStyle w:val="ListParagraph"/>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Heading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ListParagraph"/>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762D4B42" w14:textId="4D150266" w:rsidR="00075BD7" w:rsidRPr="00256908" w:rsidRDefault="00075BD7" w:rsidP="00F2677D">
      <w:pPr>
        <w:pStyle w:val="ListParagraph"/>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gestione tenuta conto l’Istituto corrisponderà al Gestore un compenso pari a € ................. </w:t>
      </w:r>
      <w:proofErr w:type="gramStart"/>
      <w:r w:rsidRPr="00256908">
        <w:rPr>
          <w:sz w:val="22"/>
        </w:rPr>
        <w:t>annuo</w:t>
      </w:r>
      <w:proofErr w:type="gramEnd"/>
      <w:r w:rsidRPr="00256908">
        <w:rPr>
          <w:sz w:val="22"/>
        </w:rPr>
        <w:t xml:space="preserve">. </w:t>
      </w:r>
    </w:p>
    <w:p w14:paraId="47345E1B" w14:textId="77777777" w:rsidR="002F5E43" w:rsidRPr="00256908" w:rsidRDefault="002F5E43" w:rsidP="00F2677D">
      <w:pPr>
        <w:pStyle w:val="ListParagraph"/>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p>
    <w:p w14:paraId="27AABB62" w14:textId="77777777" w:rsidR="00B5419F" w:rsidRPr="00256908" w:rsidRDefault="00B933F9" w:rsidP="00F2677D">
      <w:pPr>
        <w:pStyle w:val="ListParagraph"/>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r w:rsidRPr="00256908">
        <w:rPr>
          <w:i/>
          <w:sz w:val="22"/>
        </w:rPr>
        <w:t>[</w:t>
      </w:r>
      <w:proofErr w:type="gramStart"/>
      <w:r w:rsidRPr="00256908">
        <w:rPr>
          <w:i/>
          <w:sz w:val="22"/>
        </w:rPr>
        <w:t>da</w:t>
      </w:r>
      <w:proofErr w:type="gramEnd"/>
      <w:r w:rsidRPr="00256908">
        <w:rPr>
          <w:i/>
          <w:sz w:val="22"/>
        </w:rPr>
        <w:t xml:space="preserve"> utilizzare per eventuali altri strumenti di pagamento]</w:t>
      </w:r>
      <w:r w:rsidRPr="00256908">
        <w:rPr>
          <w:sz w:val="22"/>
        </w:rPr>
        <w:t xml:space="preserve"> </w:t>
      </w:r>
    </w:p>
    <w:p w14:paraId="5BE353F3"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w:t>
      </w:r>
      <w:proofErr w:type="gramStart"/>
      <w:r w:rsidRPr="00256908">
        <w:rPr>
          <w:sz w:val="22"/>
        </w:rPr>
        <w:t>annui</w:t>
      </w:r>
      <w:proofErr w:type="gramEnd"/>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ListParagraph"/>
        <w:numPr>
          <w:ilvl w:val="0"/>
          <w:numId w:val="38"/>
        </w:numPr>
        <w:spacing w:line="264" w:lineRule="auto"/>
        <w:ind w:right="738"/>
        <w:rPr>
          <w:sz w:val="22"/>
        </w:rPr>
      </w:pPr>
      <w:r w:rsidRPr="00256908">
        <w:rPr>
          <w:sz w:val="22"/>
        </w:rPr>
        <w:t xml:space="preserve">Per l’attivazione e la gestione delle carte di debito l’Istituto corrisponderà al Gestore un compenso pari a € ................. </w:t>
      </w:r>
      <w:proofErr w:type="gramStart"/>
      <w:r w:rsidRPr="00256908">
        <w:rPr>
          <w:sz w:val="22"/>
        </w:rPr>
        <w:t>annui</w:t>
      </w:r>
      <w:proofErr w:type="gramEnd"/>
      <w:r w:rsidRPr="00256908">
        <w:rPr>
          <w:sz w:val="22"/>
        </w:rPr>
        <w:t xml:space="preserve"> per ciascuna carta richiesta.</w:t>
      </w:r>
    </w:p>
    <w:p w14:paraId="34B519D8"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w:t>
      </w:r>
      <w:proofErr w:type="gramStart"/>
      <w:r w:rsidRPr="00256908">
        <w:rPr>
          <w:sz w:val="22"/>
        </w:rPr>
        <w:t>per</w:t>
      </w:r>
      <w:proofErr w:type="gramEnd"/>
      <w:r w:rsidRPr="00256908">
        <w:rPr>
          <w:sz w:val="22"/>
        </w:rPr>
        <w:t xml:space="preserve"> singola operazione. </w:t>
      </w:r>
    </w:p>
    <w:p w14:paraId="22AD4B10"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w:t>
      </w:r>
      <w:proofErr w:type="gramStart"/>
      <w:r w:rsidRPr="00256908">
        <w:rPr>
          <w:sz w:val="22"/>
        </w:rPr>
        <w:t>per</w:t>
      </w:r>
      <w:proofErr w:type="gramEnd"/>
      <w:r w:rsidRPr="00256908">
        <w:rPr>
          <w:sz w:val="22"/>
        </w:rPr>
        <w:t xml:space="preserve"> singola operazione. </w:t>
      </w:r>
    </w:p>
    <w:p w14:paraId="6D256540" w14:textId="77777777" w:rsidR="00A0394D" w:rsidRPr="00256908" w:rsidRDefault="00B933F9" w:rsidP="00F2677D">
      <w:pPr>
        <w:pStyle w:val="ListParagraph"/>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w:t>
      </w:r>
      <w:proofErr w:type="gramStart"/>
      <w:r w:rsidRPr="00256908">
        <w:rPr>
          <w:sz w:val="22"/>
        </w:rPr>
        <w:t>annui</w:t>
      </w:r>
      <w:proofErr w:type="gramEnd"/>
      <w:r w:rsidRPr="00256908">
        <w:rPr>
          <w:sz w:val="22"/>
        </w:rPr>
        <w:t xml:space="preserve">. </w:t>
      </w:r>
    </w:p>
    <w:p w14:paraId="4EAA2A2E" w14:textId="77777777" w:rsidR="00EC0B46" w:rsidRPr="00256908" w:rsidRDefault="00EC0B46" w:rsidP="00F2677D">
      <w:pPr>
        <w:pStyle w:val="ListParagraph"/>
        <w:numPr>
          <w:ilvl w:val="0"/>
          <w:numId w:val="38"/>
        </w:numPr>
        <w:spacing w:line="264" w:lineRule="auto"/>
        <w:ind w:right="738"/>
        <w:rPr>
          <w:sz w:val="22"/>
        </w:rPr>
      </w:pPr>
      <w:r w:rsidRPr="00256908">
        <w:rPr>
          <w:sz w:val="22"/>
        </w:rPr>
        <w:t xml:space="preserve">Per il servizio di riscossione tramite bonifico l’Istituto corrisponderà al Gestore un compenso pari a € ................. </w:t>
      </w:r>
      <w:proofErr w:type="gramStart"/>
      <w:r w:rsidRPr="00256908">
        <w:rPr>
          <w:sz w:val="22"/>
        </w:rPr>
        <w:t>per</w:t>
      </w:r>
      <w:proofErr w:type="gramEnd"/>
      <w:r w:rsidRPr="00256908">
        <w:rPr>
          <w:sz w:val="22"/>
        </w:rPr>
        <w:t xml:space="preserve"> singola transazione. </w:t>
      </w:r>
    </w:p>
    <w:p w14:paraId="71211022"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w:t>
      </w:r>
      <w:proofErr w:type="gramStart"/>
      <w:r w:rsidRPr="00256908">
        <w:rPr>
          <w:sz w:val="22"/>
        </w:rPr>
        <w:t>per</w:t>
      </w:r>
      <w:proofErr w:type="gramEnd"/>
      <w:r w:rsidRPr="00256908">
        <w:rPr>
          <w:sz w:val="22"/>
        </w:rPr>
        <w:t xml:space="preserve"> singolo avviso emesso, fatto salvo il recupero delle eventuali spese postali. </w:t>
      </w:r>
    </w:p>
    <w:p w14:paraId="1C74D7FF"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w:t>
      </w:r>
      <w:proofErr w:type="gramStart"/>
      <w:r w:rsidR="00EE1659" w:rsidRPr="00256908">
        <w:rPr>
          <w:sz w:val="22"/>
        </w:rPr>
        <w:t>per</w:t>
      </w:r>
      <w:proofErr w:type="gramEnd"/>
      <w:r w:rsidR="00EE1659" w:rsidRPr="00256908">
        <w:rPr>
          <w:sz w:val="22"/>
        </w:rPr>
        <w:t xml:space="preserve"> singola transazione</w:t>
      </w:r>
      <w:r w:rsidRPr="00256908">
        <w:rPr>
          <w:sz w:val="22"/>
        </w:rPr>
        <w:t xml:space="preserve">. </w:t>
      </w:r>
    </w:p>
    <w:p w14:paraId="498F1DFD"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w:t>
      </w:r>
      <w:proofErr w:type="gramStart"/>
      <w:r w:rsidRPr="00256908">
        <w:rPr>
          <w:sz w:val="22"/>
        </w:rPr>
        <w:t>per</w:t>
      </w:r>
      <w:proofErr w:type="gramEnd"/>
      <w:r w:rsidRPr="00256908">
        <w:rPr>
          <w:sz w:val="22"/>
        </w:rPr>
        <w:t xml:space="preserve"> singola transazione. </w:t>
      </w:r>
    </w:p>
    <w:p w14:paraId="127E5046" w14:textId="77777777" w:rsidR="00772994" w:rsidRPr="00256908" w:rsidRDefault="00772994" w:rsidP="00F2677D">
      <w:pPr>
        <w:pStyle w:val="ListParagraph"/>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w:t>
      </w:r>
      <w:proofErr w:type="gramStart"/>
      <w:r w:rsidRPr="00256908">
        <w:rPr>
          <w:sz w:val="22"/>
        </w:rPr>
        <w:t>per</w:t>
      </w:r>
      <w:proofErr w:type="gramEnd"/>
      <w:r w:rsidRPr="00256908">
        <w:rPr>
          <w:sz w:val="22"/>
        </w:rPr>
        <w:t xml:space="preserve"> singola transazione. </w:t>
      </w:r>
    </w:p>
    <w:p w14:paraId="12DA4D59" w14:textId="77777777" w:rsidR="004F41B7"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ListParagraph"/>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ListParagraph"/>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Heading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ListParagraph"/>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ListParagraph"/>
        <w:numPr>
          <w:ilvl w:val="0"/>
          <w:numId w:val="46"/>
        </w:numPr>
        <w:spacing w:line="264" w:lineRule="auto"/>
        <w:ind w:right="738"/>
        <w:rPr>
          <w:sz w:val="22"/>
        </w:rPr>
      </w:pPr>
      <w:r w:rsidRPr="00256908">
        <w:rPr>
          <w:sz w:val="22"/>
        </w:rPr>
        <w:t xml:space="preserve">La presente convenzione ha una durata di quattro anni a partire dal ................. </w:t>
      </w:r>
      <w:proofErr w:type="gramStart"/>
      <w:r w:rsidRPr="00256908">
        <w:rPr>
          <w:sz w:val="22"/>
        </w:rPr>
        <w:t>e</w:t>
      </w:r>
      <w:proofErr w:type="gramEnd"/>
      <w:r w:rsidRPr="00256908">
        <w:rPr>
          <w:sz w:val="22"/>
        </w:rPr>
        <w:t xml:space="preserve"> fino al ................. </w:t>
      </w:r>
      <w:r w:rsidR="00B5419F" w:rsidRPr="00256908">
        <w:rPr>
          <w:sz w:val="22"/>
        </w:rPr>
        <w:t>.</w:t>
      </w:r>
    </w:p>
    <w:p w14:paraId="768B0F6E" w14:textId="77777777" w:rsidR="0011234D" w:rsidRPr="00256908" w:rsidRDefault="00B933F9" w:rsidP="00F2677D">
      <w:pPr>
        <w:pStyle w:val="ListParagraph"/>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ListParagraph"/>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ListParagraph"/>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ListParagraph"/>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ListParagraph"/>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ListParagraph"/>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ListParagraph"/>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ListParagraph"/>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ListParagraph"/>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w:t>
      </w:r>
      <w:proofErr w:type="gramStart"/>
      <w:r w:rsidR="009664E1" w:rsidRPr="00256908">
        <w:rPr>
          <w:sz w:val="22"/>
        </w:rPr>
        <w:t>e</w:t>
      </w:r>
      <w:proofErr w:type="gramEnd"/>
      <w:r w:rsidR="009664E1" w:rsidRPr="00256908">
        <w:rPr>
          <w:sz w:val="22"/>
        </w:rPr>
        <w:t xml:space="preserve"> ii</w:t>
      </w:r>
      <w:r w:rsidR="00B65355" w:rsidRPr="00256908">
        <w:rPr>
          <w:sz w:val="22"/>
        </w:rPr>
        <w:t xml:space="preserve">. </w:t>
      </w:r>
    </w:p>
    <w:p w14:paraId="518BCD92" w14:textId="77777777" w:rsidR="00AF54C8" w:rsidRPr="00256908" w:rsidRDefault="00AF54C8" w:rsidP="00AF54C8">
      <w:pPr>
        <w:pStyle w:val="ListParagraph"/>
        <w:spacing w:after="4" w:line="238" w:lineRule="auto"/>
        <w:ind w:left="483" w:right="2360" w:firstLine="0"/>
        <w:rPr>
          <w:sz w:val="22"/>
        </w:rPr>
      </w:pPr>
    </w:p>
    <w:p w14:paraId="7B5A2903" w14:textId="77777777" w:rsidR="00B65355" w:rsidRPr="00256908" w:rsidRDefault="00B65355" w:rsidP="00B65355">
      <w:pPr>
        <w:pStyle w:val="ListParagraph"/>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w:t>
      </w:r>
      <w:proofErr w:type="gramStart"/>
      <w:r w:rsidRPr="00256908">
        <w:rPr>
          <w:sz w:val="22"/>
        </w:rPr>
        <w:t>il</w:t>
      </w:r>
      <w:proofErr w:type="gramEnd"/>
      <w:r w:rsidRPr="00256908">
        <w:rPr>
          <w:sz w:val="22"/>
        </w:rPr>
        <w:t xml:space="preserve">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Footer"/>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7777777"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38050C">
      <w:rPr>
        <w:rFonts w:eastAsia="Calibri"/>
        <w:i/>
        <w:color w:val="auto"/>
        <w:szCs w:val="20"/>
        <w:lang w:bidi="it-IT"/>
      </w:rPr>
      <w:t>lett</w:t>
    </w:r>
    <w:proofErr w:type="spellEnd"/>
    <w:r w:rsidRPr="0038050C">
      <w:rPr>
        <w:rFonts w:eastAsia="Calibri"/>
        <w:i/>
        <w:color w:val="auto"/>
        <w:szCs w:val="20"/>
        <w:lang w:bidi="it-IT"/>
      </w:rPr>
      <w:t xml:space="preserve">. b), e 54 del </w:t>
    </w:r>
    <w:proofErr w:type="spellStart"/>
    <w:r w:rsidRPr="0038050C">
      <w:rPr>
        <w:rFonts w:eastAsia="Calibri"/>
        <w:i/>
        <w:color w:val="auto"/>
        <w:szCs w:val="20"/>
        <w:lang w:bidi="it-IT"/>
      </w:rPr>
      <w:t>D.Lgs.</w:t>
    </w:r>
    <w:proofErr w:type="spellEnd"/>
    <w:r w:rsidRPr="0038050C">
      <w:rPr>
        <w:rFonts w:eastAsia="Calibri"/>
        <w:i/>
        <w:color w:val="auto"/>
        <w:szCs w:val="20"/>
        <w:lang w:bidi="it-IT"/>
      </w:rPr>
      <w:t xml:space="preserve"> 50/2016</w:t>
    </w:r>
    <w:r w:rsidRPr="0038050C">
      <w:rPr>
        <w:rFonts w:eastAsia="Calibri"/>
        <w:i/>
        <w:color w:val="FF0000"/>
        <w:szCs w:val="20"/>
        <w:lang w:bidi="it-IT"/>
      </w:rPr>
      <w:t>, suddivisa in […] lotti,</w:t>
    </w:r>
    <w:r w:rsidRPr="0038050C">
      <w:rPr>
        <w:rFonts w:eastAsia="Calibri"/>
        <w:i/>
        <w:color w:val="auto"/>
        <w:szCs w:val="20"/>
        <w:lang w:bidi="it-IT"/>
      </w:rPr>
      <w:t xml:space="preserve"> per l’affidamento del “Servizio di cassa a favore di Rete di Scuole”</w:t>
    </w:r>
  </w:p>
  <w:p w14:paraId="242FCE6D" w14:textId="77777777" w:rsidR="0038050C" w:rsidRDefault="0038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2843"/>
    <w:pPr>
      <w:ind w:left="720"/>
      <w:contextualSpacing/>
    </w:pPr>
  </w:style>
  <w:style w:type="paragraph" w:styleId="BalloonText">
    <w:name w:val="Balloon Text"/>
    <w:basedOn w:val="Normal"/>
    <w:link w:val="BalloonTextChar"/>
    <w:uiPriority w:val="99"/>
    <w:semiHidden/>
    <w:unhideWhenUsed/>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C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917C0"/>
    <w:rPr>
      <w:sz w:val="16"/>
      <w:szCs w:val="16"/>
    </w:rPr>
  </w:style>
  <w:style w:type="paragraph" w:styleId="CommentText">
    <w:name w:val="annotation text"/>
    <w:basedOn w:val="Normal"/>
    <w:link w:val="CommentTextChar"/>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CommentTextChar">
    <w:name w:val="Comment Text Char"/>
    <w:basedOn w:val="DefaultParagraphFont"/>
    <w:link w:val="CommentText"/>
    <w:uiPriority w:val="99"/>
    <w:semiHidden/>
    <w:rsid w:val="001917C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7AE8"/>
    <w:pPr>
      <w:spacing w:after="5"/>
      <w:ind w:left="1727"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rsid w:val="00DD7AE8"/>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11234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234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234D"/>
    <w:rPr>
      <w:rFonts w:cs="Times New Roman"/>
    </w:rPr>
  </w:style>
  <w:style w:type="character" w:styleId="Hyperlink">
    <w:name w:val="Hyperlink"/>
    <w:basedOn w:val="DefaultParagraphFont"/>
    <w:uiPriority w:val="99"/>
    <w:unhideWhenUsed/>
    <w:rsid w:val="00415283"/>
    <w:rPr>
      <w:color w:val="0563C1" w:themeColor="hyperlink"/>
      <w:u w:val="single"/>
    </w:rPr>
  </w:style>
  <w:style w:type="paragraph" w:styleId="NoSpacing">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sid w:val="00097895"/>
    <w:pPr>
      <w:spacing w:after="0" w:line="240" w:lineRule="auto"/>
    </w:pPr>
    <w:rPr>
      <w:szCs w:val="20"/>
    </w:rPr>
  </w:style>
  <w:style w:type="character" w:customStyle="1" w:styleId="EndnoteTextChar">
    <w:name w:val="Endnote Text Char"/>
    <w:basedOn w:val="DefaultParagraphFont"/>
    <w:link w:val="EndnoteText"/>
    <w:uiPriority w:val="99"/>
    <w:semiHidden/>
    <w:rsid w:val="00097895"/>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097895"/>
    <w:pPr>
      <w:spacing w:after="0" w:line="240" w:lineRule="auto"/>
    </w:pPr>
    <w:rPr>
      <w:szCs w:val="20"/>
    </w:rPr>
  </w:style>
  <w:style w:type="character" w:customStyle="1" w:styleId="FootnoteTextChar">
    <w:name w:val="Footnote Text Char"/>
    <w:basedOn w:val="DefaultParagraphFont"/>
    <w:link w:val="FootnoteText"/>
    <w:uiPriority w:val="99"/>
    <w:semiHidden/>
    <w:rsid w:val="00097895"/>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097895"/>
    <w:rPr>
      <w:vertAlign w:val="superscript"/>
    </w:rPr>
  </w:style>
  <w:style w:type="character" w:styleId="FootnoteReference">
    <w:name w:val="footnote reference"/>
    <w:basedOn w:val="DefaultParagraphFont"/>
    <w:uiPriority w:val="99"/>
    <w:semiHidden/>
    <w:unhideWhenUsed/>
    <w:rsid w:val="00097895"/>
    <w:rPr>
      <w:vertAlign w:val="superscript"/>
    </w:rPr>
  </w:style>
  <w:style w:type="paragraph" w:styleId="BodyTextIndent">
    <w:name w:val="Body Text Indent"/>
    <w:basedOn w:val="Normal"/>
    <w:link w:val="BodyTextIndentChar"/>
    <w:semiHidden/>
    <w:rsid w:val="00C872AA"/>
    <w:pPr>
      <w:spacing w:after="0" w:line="240" w:lineRule="auto"/>
      <w:ind w:left="284" w:firstLine="0"/>
      <w:jc w:val="left"/>
    </w:pPr>
    <w:rPr>
      <w:rFonts w:ascii="Bookman Old Style" w:hAnsi="Bookman Old Style"/>
      <w:color w:val="auto"/>
      <w:sz w:val="24"/>
      <w:szCs w:val="20"/>
    </w:rPr>
  </w:style>
  <w:style w:type="character" w:customStyle="1" w:styleId="BodyTextIndentChar">
    <w:name w:val="Body Text Indent Char"/>
    <w:basedOn w:val="DefaultParagraphFont"/>
    <w:link w:val="BodyTextIndent"/>
    <w:semiHidden/>
    <w:rsid w:val="00C872AA"/>
    <w:rPr>
      <w:rFonts w:ascii="Bookman Old Style" w:eastAsia="Times New Roman" w:hAnsi="Bookman Old Style" w:cs="Times New Roman"/>
      <w:sz w:val="24"/>
      <w:szCs w:val="20"/>
    </w:rPr>
  </w:style>
  <w:style w:type="paragraph" w:styleId="Revision">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1DF42F71EBA6540A9E76A79188BAFA6" ma:contentTypeVersion="0" ma:contentTypeDescription="Creare un nuovo documento." ma:contentTypeScope="" ma:versionID="64d8837d0d97c57dc63dc9f846c53252">
  <xsd:schema xmlns:xsd="http://www.w3.org/2001/XMLSchema" xmlns:xs="http://www.w3.org/2001/XMLSchema" xmlns:p="http://schemas.microsoft.com/office/2006/metadata/properties" targetNamespace="http://schemas.microsoft.com/office/2006/metadata/properties" ma:root="true" ma:fieldsID="9cb556e9775b5740c9582513e403c6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CC631-2E22-4DA5-AB12-B2045F5F4301}">
  <ds:schemaRefs>
    <ds:schemaRef ds:uri="http://schemas.openxmlformats.org/officeDocument/2006/bibliography"/>
  </ds:schemaRefs>
</ds:datastoreItem>
</file>

<file path=customXml/itemProps2.xml><?xml version="1.0" encoding="utf-8"?>
<ds:datastoreItem xmlns:ds="http://schemas.openxmlformats.org/officeDocument/2006/customXml" ds:itemID="{121C7B90-9C54-430A-A9EC-D8BD9B4ED5DC}"/>
</file>

<file path=customXml/itemProps3.xml><?xml version="1.0" encoding="utf-8"?>
<ds:datastoreItem xmlns:ds="http://schemas.openxmlformats.org/officeDocument/2006/customXml" ds:itemID="{CB2EE125-ABF0-442B-B99F-6BB5BDDCD9E9}"/>
</file>

<file path=customXml/itemProps4.xml><?xml version="1.0" encoding="utf-8"?>
<ds:datastoreItem xmlns:ds="http://schemas.openxmlformats.org/officeDocument/2006/customXml" ds:itemID="{EC7F4509-902F-4079-95F2-3E101BC6E5BF}"/>
</file>

<file path=docProps/app.xml><?xml version="1.0" encoding="utf-8"?>
<Properties xmlns="http://schemas.openxmlformats.org/officeDocument/2006/extended-properties" xmlns:vt="http://schemas.openxmlformats.org/officeDocument/2006/docPropsVTypes">
  <Template>Normal</Template>
  <TotalTime>1</TotalTime>
  <Pages>12</Pages>
  <Words>4616</Words>
  <Characters>26317</Characters>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2018-11-23T16:18:00Z</dcterms:created>
  <dcterms:modified xsi:type="dcterms:W3CDTF">2018-11-23T16:27:00Z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0x010100B1DF42F71EBA6540A9E76A79188BAFA6</vt:lpwstr>
  </property>
  <property fmtid="{D5CDD505-2E9C-101B-9397-08002B2CF9AE}" pid="4" name="MSIP_Label_5f5fe31f-9de1-4167-a753-111c0df8115f_Enabled">
    <vt:lpwstr>true</vt:lpwstr>
  </property>
  <property fmtid="{D5CDD505-2E9C-101B-9397-08002B2CF9AE}" pid="5" name="MSIP_Label_5f5fe31f-9de1-4167-a753-111c0df8115f_SetDate">
    <vt:lpwstr>2021-10-06T19:22:05Z</vt:lpwstr>
  </property>
  <property fmtid="{D5CDD505-2E9C-101B-9397-08002B2CF9AE}" pid="6" name="MSIP_Label_5f5fe31f-9de1-4167-a753-111c0df8115f_Method">
    <vt:lpwstr>Standard</vt:lpwstr>
  </property>
  <property fmtid="{D5CDD505-2E9C-101B-9397-08002B2CF9AE}" pid="7" name="MSIP_Label_5f5fe31f-9de1-4167-a753-111c0df8115f_Name">
    <vt:lpwstr>5f5fe31f-9de1-4167-a753-111c0df8115f</vt:lpwstr>
  </property>
  <property fmtid="{D5CDD505-2E9C-101B-9397-08002B2CF9AE}" pid="8" name="MSIP_Label_5f5fe31f-9de1-4167-a753-111c0df8115f_SiteId">
    <vt:lpwstr>cc4baf00-15c9-48dd-9f59-88c98bde2be7</vt:lpwstr>
  </property>
  <property fmtid="{D5CDD505-2E9C-101B-9397-08002B2CF9AE}" pid="9" name="MSIP_Label_5f5fe31f-9de1-4167-a753-111c0df8115f_ActionId">
    <vt:lpwstr>de7440ef-aa6b-40b8-9121-a9f851c83789</vt:lpwstr>
  </property>
  <property fmtid="{D5CDD505-2E9C-101B-9397-08002B2CF9AE}" pid="10" name="MSIP_Label_5f5fe31f-9de1-4167-a753-111c0df8115f_ContentBits">
    <vt:lpwstr>0</vt:lpwstr>
  </property>
</Properties>
</file>